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Тульской области от 13.01.2023, оставленным без изменения постановлением Двадцатого арбитражного апелляционного суда от 04.04.2023 и постановлением Арбитражного суда Центрального округа от 05.07.2023, в удовлетворении заявления отказано. В кассационной жалобе ФИО1 просит об отмене судебных актов, ссылаясь на ненадлежащую оценку обстоятельств спора, игнорирование признания наследниками должника наличия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в подтверждение наличия и размера заемных обязательств должника доказательства суды признали не отвечающими критериям статей 71 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основанного на них требования в реестре. Иная оценка правоотношений заявителем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Министерство труда и социальной защиты Тульской области в лице ТО по Центральному району (подробнее) Нотариус Токарева Ирина Павловна (подробнее) СОЮЗ "МЕЖРЕГИОНАЛЬНЫЙ ЦЕНТР АРБИТРАЖНЫХ УПРАВЛЯЮЩИХ"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