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31.10.2022, оставленным без изменения постановлением Тринадцатого арбитражного апелляционного суда от 16.02.2023 и постановлением Арбитражного суда Северо-Западного округа от 21.06.2023, в удовлетворении заявления отказано. В кассационной жалобе Парамонов Е.В. просит об отмене судебных актов как незаконных и необоснованных.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отсутствие вменяемых нарушений для констатации незаконности действий (бездействия) финансового управляющего, поэтому отклонили жалобу в соответствии со статьями 20.3, 60, 213.9 Федерального закона от 26.10.2002 № 127-ФЗ «О несостоятельности (банкротстве)» и их судебного толкования. Иная оценка действий управляющего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