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11.01.2023, оставленным без изменения постановлением Четырнадцатого арбитражного апелляционного суда от 12.04.2023 и постановлением Арбитражного суда Северо-Западного округа от 19.07.2023, требование Шифрина Э.В. в размере 271 945 143 рублей 66 копеек признано обоснованным и включено в третью очередь реестра. В кассационной жалобе Виноградов В.В. просит об отмене судебных актов, ссылаясь на отсутствие надлежащей оценки представленных доказательств наличия встречного обязательства кредитора и проведения зачета.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Суды установили, что требование кредитора подтверждено приговором суда, тогда как наличие и основание встречного требования, заявленного должником к зачету, не доказаны.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Виноградову Валентину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