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17.04.2023, оставленным без изменения постановлением Девятого арбитражного апелляционного суда от 07.06.2023, в удовлетворении ходатайства о восстановлении срока для включения требования в реестр отказано, требование признано обоснованным и подлежащими удовлетворению за счет имущества, оставшегося после удовлетворения включенных в реестр требований, в признании требования обеспеченным залогом имущества должника отказано. Постановлением Арбитражного суда Московского округа от 29.08.2023 определение и постановление апелляционной инстанции изменены: требование признано подлежащим удовлетворению преимущественно перед требованием иных кредиторов, не включенных в реестр, за счет суммы, вырученной от продажи предмета залога. В кассационной жалобе банк просит об отмене судебных актов, ссылаясь на неосновательный отказ в восстановлении срока для включения требования в реестр.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объективной причины для своевременной подачи заявления о включении требования в реестр, поэтому отказали в восстановлении срока.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«КБ «Конфидэнс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