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23.12.2022, оставленным без изменения постановлением Восемнадцатого арбитражного апелляционного суда от 19.04.2023 и постановлением Арбитражного суда Уральского округа от 07.07.2023, в удовлетворении заявления отказано. В кассационной жалобе Хакимова М.А. просит об отмене судебных актов, ссылаясь на нуждаемость в спорном помещении для профессиональной деятельности.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спорное имущество не обладает признаками для применения исполнительского иммунитета и его исключение из конкурсной массы при наличии у должника неисполненных обязательств противоречит целям процедур банкротства, поэтому в силу пунктов 2 и 3 статьи 213.25 Федерального закона «О несостоятельности (банкротстве)» и статьи 446 Гражданского процессуального кодекса Российской Федерации отклонили требование.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Хакимовой Марине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