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10.02.2023, оставленным без изменения постановлением Девятого арбитражного апелляционного суда от 24.04.2023 и постановлением Арбитражного суда Московского округа от 17.07.2023, требование признано обоснованным и включено в третью очередь реестра с учетом привила пункта 3 статьи 137 Федерального закона от 26.10.2002 № 127-ФЗ «О несостоятельности (банкротстве)». В кассационной жалобе Пташинская М.Д. просит об отмене судебных актов, ссылаясь на неприменение судами срока исковой давности и игнорирование отсутствия права собственности на машино-место.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исходя из доводов жалобы не усматривается. Суды, установив наличие задолженности, подтвержденной в том числе судебным актом и частичным исполнением, правомерно отклонили довод заявителя о пропуске срока исковой давности по заявленному требованию. Неисполнение должником установленной законом и соглашением обязанности по государственной регистрации права собственности на машино-место не освобождает от обязанности несения расходов на его содержание.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Пташинской Марине Дмитриевне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