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07.03.2023, оставленным без изменения постановлением Десятого арбитражного апелляционного суда от 25.04.2023 и постановлением Арбитражного суда Московского округа от 19.07.2023, утвержден план реструктуризации долгов Нефедова О.А. в предложенной им редакции. В кассационной жалобе общество просит о пересмотре судебных актов, ссылаясь на неисполнимость плана реструктуризации.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Процедура реструктуризации долгов применена в силу статьей 213.2, 213.12, 213.13, 213.14, 213.15 Федерального закона от 26.10.2002 № 127-ФЗ «О несостоятельности (банкротстве)» после исследования источников дохода должника и установления возможности погашения долгов посредством периодических платежей. Несогласие с оценкой обстоятельств, осуществленной судами в пределах компетенции, не является поводом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«МВА-Трейд»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