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Московского округа, принятое и вступившее в законную силу 09.08.2023. Кассационная жалоба направлена заявителем в Верховный Суд Российской Федерации 09.11.2023, то есть за пределами процессуального двухмесячного срока, предусмотренного частью 1 статьи 291.2 АПК РФ. Одновременно с подачей кассационной жалобы обществом заявлено ходатайство о восстановлении пропущенного процессуального срока подачи жалобы. В обоснование ходатайства заявитель ссылается на ошибочное направление в Верховный Суд Российской Федерации надзорной жалобы. Между тем данное обстоятельство не является уважительной и не зависящей от заявителя причиной пропуска срока, а потому не может служить основанием для его восстановления. Принимая во внимание, что общество являлось инициатором кассационного обжалования, его представитель присутствовал в судебном заседании суда округа, постановление окружного суда своевременно опубликовано в общедоступной базе электронных документов «Картотека арбитражных дел» в сети Интернет, у заявителя было достаточно времени для обращения с кассационной жалобой в установленный законом срок. Каких-либо иных доводов в обоснование ходатайства обществом не приведено.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АПК РФ. При таких обстоятельствах ходатайство о восстановлении пропущенного срока подлежит оставлению без удовлетворения, а кассационная жалоба - возвращению заявителю. 3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платежное поручение от 07.11.2023 № 3845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«Усть-Катаевский вагоностроительный завод» о восстановлении пропущенного процессуального срока отказать. Кассационную жалобу акционерного общества «Усть-Катаевский вагоностроительный завод» на решение Арбитражного суда города Москвы от 27.01.2023, постановление Девятого арбитражного апелляционного суда от 03.05.2023 и постановление Арбитражного суда Московского округа от 09.08.2023 по делу № А40-207774/2022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