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26.10.2022, оставленным без изменения постановлением Тринадцатого арбитражного апелляционного суда от 01.03.2023 и постановлением Арбитражного суда Северо-Западного округа от 21.06.2023, в удовлетворении заявления отказано. В кассационной жалобе Парамонов Е.В. просит об отмене судебных актов, ссылаясь на ненадлежащую оценку действий финансового управляющего, процессуальные нарушения. В силу части 1 статьи 291.11 Арбитражного процессуального кодекса Российской Федерации основаниями для отмены ил 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 отсутствие вменяемых нарушений для констатации незаконности действий (бездействия) финансового управляющего, поэтому отклонили жалобу в соответствии со статьями 20.3, 60, 213.9 Федерального закона от 26.10.2002 № 127-ФЗ «О несостоятельности (банкротстве)» и их судебного толкования. Действия судов, которые заявитель считает процессуальными нарушениями, таковыми не являются и не попадают под основания для кассационного пересмотра судебных актов, как и вопросы отличной от судебной оценки действий управляющего.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Парамонову Евгению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