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14.04.2023, оставленным без изменения постановлением Семнадцатого арбитражного апелляционного суда от 07.06.2023 и постановлением Арбитражного суда Уральского округа от 28.08.2023, требования ФИО2 в включены в третью очередь реестра как подлежащие погашению после погашения требований ООО «Юридические гарантии» как основного кредитора. В кассационной жалобе ФИО1 просит об отмене судебных актов, ссылаясь на неправильное определение размера требования и игнорирование злоупотребления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признали обоснованным требование кредитора как подтвержденное надлежащими доказательствами и соответствующее критериям статей 71 , 100 Федерального закона от 26.10.2002 № 127-ФЗ «О несостоятельности (банкротстве)», пункту 2 статьи 325 Гражданского кодекса Российской Федерации для включения в реестр.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"Энергосбыт Плюс" (подробнее) Инспекция Федеральной налоговой службы по Ленинскому району г. Екатеринбурга (подробнее) ООО "ФОКУСГРУПП" (подробнее) ООО ЮРИДИЧЕСКИЕ ГАРАНТИИ (подробнее) ПАО Банк ВТБ (подробнее) Иные лица: СОЮЗ АРБИТРАЖНЫХ УПРАВЛЯЮЩИХ "СОЗИДАНИЕ"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