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Магаданской области от 29.05.2023, оставленным без изменения постановлением Шестого арбитражного апелляционного суда от 13.07.2023, заявление удовлетворено. В кассационной жалобе Цыганков В.Е. просит об отмене судебных актов, ссылаясь на отсутствие надлежащей оценки совершенных им действий по передаче управляющему имущества в добровольном порядке.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Право финансового управляющего обращаться с заявленным требованием в суд в целях формирования конкурсной массы основано на статьях 20.3, 213.9, 213.25 Федерального закона от 26.10.2002 № 127-ФЗ «О несостоятельности (банкротстве)», которыми руководствовались суды, удовлетворяя заявление. Мотивы отклонения довода о добровольном исполнении требований финансового управляющего указаны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Цыганкову Владимиру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