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«Форест-М» обратилось в Арбитражный суд Кировской области с иском к ИП Старкову А.Г. о взыскании 1 020 195 рублей стоимости утраченного груза. К участию в деле в качестве третьих лиц, не заявляющих самостоятельных требований относительно предмета спора, привлечены ИП Тарико Н.В. и ИП Мухин П.А. Решением Арбитражного суда Кировской области от 17.10.2022 иск удовлетворен. Постановлением Второго арбитражного апелляционного суда от 05.06.2023 принят отказ общества от иска в части взыскания ущерба в сумме 413 195 рублей и производство по делу в указанной части прекращено; решение суда первой инстанции отменено, иск удовлетворен в части взыскания 607 000 рублей стоимости утраченного груза. Арбитражный суд Волго-Вятского округа постановлением от 05.09.2023 указанные судебные акты оставил без изменения. 2 ИП Старков А.Г.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785, 796 Гражданского кодекса Российской Федерации, суд первой инстанции пришел к выводу о доказанности факта принятия ответчиком груза, а также факта его утраты, что явилось основанием для удовлетворения иска. Определяя сумму для взыскания, суд апелляционной инстанции учел отказ истца от иска в части. Окружной суд согласился с выводами судов о наличии оснований для удовлетворения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