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31.03.2023, оставленным без изменения постановлением Девятого арбитражного апелляционного суда от 09.06.2023 и постановлением Арбитражного суда Московского округа от 28.08.2023, иск удовлетворен. В кассационной жалобе общество «АсстрА Рус» просит об отмене судебных актов, ссылаясь на наличие вины истца в неисполнении обязательств, неправильный расчет упущенной выгоды, неправильное применение норм права о сроке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ответчиком обязательств, возникших из договора от 28.10.2020 № OS-S/20-1374/ARSZ, в качестве условий для взыскания убытков. Обстоятельств, освобождающих от ответственности либо влекущих уменьшение ее размера, суды не установили. Судами применен годичный срок исковой давности, какой предусмотрен и Федеральным законом от 30.06.2003 № 87-ФЗ «О транспортно- экспедиционной деятельности».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«АсстрА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