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Пензенской области от 15.02.2023, оставленным без изменения постановлением Одиннадцатого арбитражного апелляционного суда от 25.04.2023 и постановлением Арбитражного суда Поволжского округа от 13.07.2023, жалоба удовлетворена в части признания незаконным неоспаривания передачи Безрукову А.В. 09.10.2019 денежных средств в сумме 1 025 000 рублей и договора купли-продажи гаража (машино-места) от 10.10.2019. В кассационной жалобе Танькова А.А. просит об отмене судебных актов, ссылаясь на неосновательное применение критерия очевидности по отношению к действиям управляющего.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неисполнение управляющим законной функции по собиранию конкурсной массы, поэтому в силу статей 20.3, 213.9 Федерального закона от 26.10.2002 № 127-ФЗ «О несостоятельности (банкротстве)» удовлетворили жалобу. Иная оценка перспектив оспаривания сделок противоречит выводам судов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Таньковой А.А.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