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20.03.2023, оставленным без изменения Девятого арбитражного апелляционного суда от 23.05.2023 и постановлением Арбитражного суда Московского округа от 09.08.2023, в удовлетворении требований отказано. В кассационной жалобе Голованов С.Ю. просит об отмене судебных актов, ссылаясь на неправильное определение статуса имущества, неопубликование сведений, неправомерное изменение условий оплаты имущества, фактическую аффилированность управляющего и причинение им ущерба.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вменяемых управляющему нарушений, в том числе в организации и проведении торгов, поэтому в силу статей 110, 111, 112, 139, 140, 213.1, 213.26 Федерального закона от 26.10.2002 № 127-ФЗ «О несостоятельности (банкротстве)», статьи 449 Гражданского кодекса Российской Федерации отклонили требования.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Голованову Сергею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