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10.02.2023, оставленным без изменения постановлением Девятого арбитражного апелляционного суда от 24.04.2023 и постановлением Арбитражного суда Московского округа от 19.07.2023, заявление удовлетворено. В кассационной жалобе Шмакова Л.А. просит об отмене судебных актов, ссылаясь на неустановление условий для признания договора недействительным по общегражданским основаниям.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судами согласованные действия должника и заинтересованного лица по выведению из-под взыскания имущества попадают под нарушение пределов осуществления гражданских прав и в силу статей 10, 168 Гражданского кодекса Российской Федерации влекут примененные последствия.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Шмаковой Людмилы Александровны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