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«ЕО-Логистик» обратилось в Арбитражный суд города Москвы с иском о взыскании с ООО «ТрансСервисТорг» 2 076 450 рублей 30 копеек убытков, связанных с повреждением груза по договору от 29.10.2019 № 19/56. Решением Арбитражного суда города Москвы от 30.01.2023 в удовлетворении иска отказано. Постановлением Девятого арбитражного апелляционного суда от 14.04.2023 решение суда первой инстанции оставлено без изменения. Арбитражный суд Московского округа постановлением от 17.07.2023 указанные судебные акты оставил без изменения. ООО «ЕО-Логистик»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требование истца (экспедитора) о возмещении ущерба связано с ненадлежащим исполнением ответчиком (перевозчиком) обязательств по перевозке груза, руководствуясь положениями статей 195 , 196 , 197 , 199 , 797 Гражданского кодекса Российской Федерации, Федерального закона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груза, пассажиров и багажа и о договоре транспортной экспедиции», суды пришли к выводу о пропуске истцом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"ЕО-ЛОГИСТИК" (подробнее) Ответчики: ООО "ТРАНССЕРВИСТОРГ"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