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12.04.2022, оставленным без изменения постановлением Десятого арбитражного апелляционного суда от 05.07.2022, заявление удовлетворено. Арбитражный суд Московского округа постановлением от 15.09.2022 отменил определение от 12.04.2022 и постановление апелляционного суда от 05.07.2022, направив спор на новое рассмотрение в Арбитражный суд Московской области. В кассационной жалобе ФИО1 просит об отмене постановления окружного суда, оставившего без внимания отсутствие иного жилого помещения и невозможность приобретения альтернативного жилья.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установил, что суды первой и апелляционной инстанций не рассмотрели ряда вопросов, необходимых для установления основания исключения имущества из конкурсной массы, поэтому в силу предоставленных статьями 286 , 287 Арбитражного процессуального кодекса Российской Федерации полномочий признал необходимость нового рассмотрения спора.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МИФНС №10 по МО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