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Пятнадцатого арбитражного апелляционного суда от 07.06.2023, оставленным без изменения постановлением Арбитражного суда Северо-Кавказского округа от 18.08.2023, в удовлетворении заявления отказано. В кассационной жалобе Хайленко Н.Н. просит об отмене судебных актов, ссылаясь на иную оценку Верховным Судом Российской Федерации обстоятельств совершения аналогичных сделок в рамках другого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Верховный Суд Российской Федерации не разрешил по существу дело № 2-1/2020, поэтому противоречие в оценке обстоятельств заключения и судьбе сделок, на котором заявитель основывает пересмотр принятого в данном деле постановления от 10.05.2021, отсутствует. Окружной суд дал соответствующую нормам главы 37 Арбитражного процессуального кодекса Российской Федерации оценку заявленному обстоятельству и его влиянию на судьбу названного постановления.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Хайленко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