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«ТрансАвто»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«Стройтрансгаз Трубопроводстрой» 13 539 733 рублей 20 копеек задолженности по оплате услуг перевозки и 1 279 723 рублей 67 копеек процентов за пользование чужими денежными средствами. Решением Арбитражного суда города Москвы от 03.02.2023 в удовлетворении иска отказано. Постановлением Девятого арбитражного апелляционного суда от 11.04.2023 решение суда первой инстанции оставлено без изменения. Арбитражный суд Московского округа постановлением от 20.07.2023 указанные судебные акты оставил без изменения. ООО «ТрансАвто»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руководствовались положениями статей 196, 199, 200, 203, 206, 797 Гражданского кодекса Российской Федерации, разъяснениями, изложенными в пунктах 20, 21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пропуска истцом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