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19.01.2023, оставленным без изменения постановлением Шестого арбитражного апелляционного суда от 31.03.2023 и постановлением Арбитражного суда Дальневосточного округа от 10.07.2023, в удовлетворении иска отказано в связи с пропуском срока исковой давности, о применении которой заявил ответчик. В кассационной жалобе общество «Восточный ветер» просит об отмене судебных актов, ссылаясь на неправильную правовую квалификацию правоотношений сторон, возникших в связи с заключением публичного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правомерно руководствовались связью согласования заявок с перевозочным процессом и, установив ее, применили статью 797 Гражданского кодекса Российской Федерации о сроке исковой давности.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«Восточный ветер»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