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24.04.2023, оставленным без изменения постановлением Тринадцатого арбитражного апелляционного суда от 22.06.2023 и постановлением Арбитражного суда Северо-Западного округа от 05.09.2023, производство по заявлению прекращено. В кассационной жалобе Гридяев В.Н. просит об отмене судебных актов, ссылаясь на неприменение к требуемым расходам процессуальных норм о судебных издержках.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нераспространении на заявленные расходы норм Арбитражного процессуального кодекса Российской Федерации, в частности о сроке подачи заявления о возмещении расходов, противоречит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Гридяеву В.Н.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