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имуществом должника ФИО2 обратился в Арбитражный суд города Москвы с заявлением о признании недействительным договора купли-продажи квартиры от 30.03.2016, заключенного между должником и ФИО3, и применении последствий недействительности сделки в виде взыскания с ответчика стоимости квартиры в размере 7 000 000 рублей. Определением Арбитражного суда города Москвы от 26.04.2021 заявление удовлетворено. Постановлением Девятого арбитражного апелляционного суда от 31.08.2021 определение суда первой инстанции оставлено без изменения. Арбитражный суд Московского округа постановлением от 28.12.2021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61.2, 61.6,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доказанности заявителем наличия совокупности обстоятельств, необходимой для признания спорной сделки недействительной как совершенной с целью вывода ликвидного имущества из конкурсной массы должника. В частности, судами установлено, что оспариваемая сделка совершена заинтересованными лицами, в период неплатежеспособности должника, надлежащие доказательства наличия у ответчика финансовой возможности произвести оплату по спорному договору не представлены, в результате заключения договора причинен вред правам и законным интересам кредиторов в виде уменьшения имущества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Последние документы по делу: Определение от 14 ноября 2023 г. по делу № А40-181643/2018 Определение от 12 апреля 2022 г. по делу № А40-181643/2018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