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общество с ограниченной ответственностью «ТСК Мосэнерго» и конкурсный управляющий обратились в суд с заявлениями, объединёнными в одно производство для совместного рассмотрения, в которых просили взыскать с бывших руководителей должника ФИО3 и ФИО4, а также с бывшего участника должника ФИО5 солидарно убытки в размере 99 001 824 рублей. Определением Арбитражного суда города Москвы от 28.02.2023, оставленным без изменения постановлениями Девятого арбитражного апелляционного суда от 18.05.2023 и Арбитражного суда Московского округа от 31.07.2023, заявление удовлетворено в части взыскания с ФИО4 в пользу должника убытков в заявленном размере.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в части отказа во взыскании убытков с ФИО3 и ФИО5 и принять в данной части новый судебный акт об удовлетворении заявленных требований.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заявленных требований в обжалуемой части, суды, руководствуясь статьями 15 , 53 , 53.1 , 1064 Гражданского кодекса Российской Федерации, исходили из недоказанности совокупности условий, необходимой для привлечения ФИО3 и ФИО5 к гражданско-правовой ответственности в виде взыскания убытков.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"Мосводоканал" (подробнее) АО "МОСЭНЕРГОСБЫТ" (подробнее) ИФНС №3 ПО Г. МОСКВЕ (подробнее) ОАО "РЭУ-53 РАЙОНА СОКОЛЬНИКИ" (подробнее) ООО "Монолит" (подробнее) ООО "МОНОЛИТ" в лице к/у Гавришова М.В. (подробнее) ООО "СЕРГИЕВО-ПОСАДСКИЙ РЕГИОНАЛЬНЫЙ ОПЕРАТОР" (подробнее) ООО "Теплоснабжающая компания Мосэнерго" (подробнее) ООО "Техинжиниринг" (подробнее) Ответчики: ООО "Проф-Комплект" (подробнее) ООО "Центурион" (подробнее) Иные лица: Ассоциации "МСО ПАУ" (подробнее) ГБУ г.Москвы "Жилищник района Марьино" (подробнее) Иванов-Бойцов Александр Николаевич (подробнее) ООО "Бел-Авуар-Инвест" (подробнее) ООО "Бизнес Логистик" (подробнее) ООО "Жилищные технологии" (подробнее) ООО "Стройкомплекс рук" (подробнее) ООО "Строй-Паркинг"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