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следующий платежей, совершённых должником в пользу акционерного общества «Московская объединённая энергетическая компания» (далее – общество): 1. за период с 16.06.2020 по 24.11.2020 в общей сумме 2 398 243 рубля 61 копейка; 2. за период с 21.04.2021 по 04.05.2021 в общей сумме 840 780 рублей 65 копеек; применить последствий недействительности сделок. Определением Арбитражного суда города Москвы от 27.01.2023, оставленным без изменения постановлениями Девятого арбитражного апелляционного суда от 24.05.2023 и Арбитражного суда Московского округа от 01.08.2023, в удовлетворении заявления отказано.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в части отказа в признании недействительными сделками и применения последствий недействительности платежей, совершённых должником в пользу общества за период с 21.04.2021 по 04.05.2021 в общей сумме 840 780 рублей 65 копеек.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заявления в обжалуемой части, суды, руководствуясь статьями 61.3 , 61.4 Федерального закона от 26.10.2002 № 127-ФЗ «О несостоятельности (банкротстве)», статьями 135 , 155 Жилищного кодекса Российской Федерации, исходили из недоказанности совокупности условий для признания недействительными оспариваемых платежей, совершённых в период предпочтительности в процессе обычной хозяйственной деятельности в пользу общества – гарантирующего поставщика за счёт средств не должника – управляющей компании, а нанимателей помещений соответствующего многоквартирного дома в обмен на поставленный им коммунальный ресурс. Выводы судов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"Мосводоканал" (подробнее) АО "МОСЭНЕРГОСБЫТ" (подробнее) АО "СПЕЦВЫСОТСТРОЙ" (подробнее) Государственная жилищная инспекция города Москвы (подробнее) ИФНС России №31 по г. Москве (подробнее) ООО "ИВКО-2000" ЭКСПЛУАТАЦИЯ НЕДВИЖИМОСТИ" (подробнее) ПАО "МОСКОВСКАЯ ОБЪЕДИНЕННАЯ ЭНЕРГЕТИЧЕСКАЯ КОМПАНИЯ" (подробнее) Ответчики: АО "СПЕЦВЫСОТСТРОЙ" (подробнее) ТСЖ "ДОМ НА ЛЕНИНСКОМ "ВЕРТИКАЛЬ" (подробнее) Иные лица: Ассоциации СРО "МЦПУ" (подробнее) ООО "ПромЭкспо" (подробнее) ООО ЧАСТНОЕ ОХРАННОЕ ПРЕДПРИЯТИЕ "АХБАРС" (подробнее) Судьи дела: Корнелюк Е.С. (судья) (подробнее) Судебная практика по: По коммунальным платежам Судебная практика по применению норм ст. 153, 154, 155, 156, 156.1, 157, 157.1, 158 ЖК РФ По ТСЖ Судебная практика по применению норм ст. 135, 136, 137, 138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