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Парамонова Е.В. в Арбитражный суд города Санкт-Петербурга и Ленинградской области обратился должник с жалобой на действия (бездействие) финансового управляющего Ярового М.П., выразившиеся в ненаправлении должнику заблаговременно до судебного заседания по адресу его содержания отзывов финансового управляющего по обособленным спорам № А56-78752/2015/ж.16 – № А56-78752/2015/ж.19. Определением Арбитражного суда города Санкт-Петербурга и Ленинградской области от 31.10.2022, оставленным без изменения постановлением Тринадцатого арбитражного апелляционного суда от 02.03.2023 и постановлением Арбитражного суда Северо-Западного округа от 21.06.2023, в удовлетворении жалобы отказано. Парамонов Е.В. обратился в Судебную коллегию Верховного Суда Российской Федерации с кассационной жалобой на принятые по 2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жалобу на действие (бездействие) финансового управляющего необоснованной, суды руководствовались положениями статей 20.3, 60, 213.25 Федерального закона от 26.10.2002 № 127-ФЗ «О несостоятельности (банкротстве)» и исходили из недоказанности нарушения обжалуемыми действиями (бездействием) прав и законных интересов должника и конкурсных кредиторов.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