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с ограниченной ответственностью «Прогресс–М» обратилось в суд с заявлением о включении в реестр требований кредиторов должника (далее – реестр) задолженности в размере 19 697 154 рубля 84 копейки. Определением Арбитражного суда Республики Хакасия от 17.02.2023, оставленным без изменения постановлениями Третьего арбитражного апелляционного суда от 07.04.2023 и Арбитражного суда Восточно–Сибирского округа от 19.07.2023, требование общества «Прогресс–М» признано обоснованным и подлежащим удовлетворению в третьей очереди реестра. В кассационной жалобе, поданной в Верховный Суд Российской Федерации, заявитель просит отменить обжалуемые судебные акты, в удовлетворении заявления отказать.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2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положениями статей 71 и 100 Федерального закона от 26.10.2002 № 127-ФЗ «О несостоятельности (банкротстве)», положениями пункта 6.2 Обзора судебной практики разрешения споров, связанных с установлением в процедурах банкротства требований контролирующих должника и аффилированных с ним лиц, утверждённого Президиумом Верховного Суда Российской Федерации 29.01.2020, отклонив доводы о пропуске срока исковой давности на предъявление требования, исходили из обоснованности, подтверждённости данных требований к должнику в указанном размере и недоказанности недобросовестного поведения общества «Прогресс–М» при приобретении права требования у независимого кредитора, что не позволяло квалифицировать такое приобретение как способ компенсационного финансирования и понизить его в очерёдности. Выводы судов соответствуют нормам права, оснований для переоценки этих выводов по доводам жалобы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Доводы заявителя были предметом рассмотрения судов, основаны на ином толковании норм права и направлены на переоценку доказательств, что находится за пределами полномочий Судебной коллегии по экономическим спорам Верховного Суда Российской Федерации.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