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«Абакан Эйр» обратилось в Арбитражный суд города Москвы с иском к АО «Русские вертолетные системы» о взыскании 225 000 долларов США неустойки. Решением Арбитражного суда города Москва от 10.02.2023, оставленным без изменения постановлением Девятого арбитражного апелляционного суда от 20.04.2023 и постановлением Арбитражного суда Московского округа от 20.07.2023, иск удовлетворен. АО «Русские вертолетные системы»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нарушения ответчиком условий договора воздушной перевозки, признав соблюдение сторонами письменной формы сделки, в т.ч. условия о договорной неустойке, проверив представленный истцом расчет неустойки и признав его верным и обоснованным, руководствуясь положениями статей 309, 310, 329, 330, 785 Гражданского кодекса Российской Федерации, суды пришли к выводу об обоснованности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