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суда округа с учетом установленных судами первой и апелляционной инстанций обстоятельств дела соответствуют правовой позиции, изложенной в пункте 24 Обзора судебной практики Верховного Суда Российской Федерации № 2 (2023), утвержденного Президиумом Верховного Суда Российской Федерации 19.07.2023.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Федоренко Фёдору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