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ФИО2 финансовый управляющий ее имуществом обратился в арбитражный суд с заявлением о признании недействительной сделкой договор дарения квартиры, заключенный между должником и ФИО3, действующим в интересах несовершеннолетней дочери ФИО4, применении последствий недействительности сделки. Определением арбитражного суда первой инстанции от 12.11.2019 в удовлетворении заявленных требований отказано. Постановлением суда апелляционной инстанции от 10.02.2020, оставленным без изменения постановлением суда округа от 16.07.2020, определение от 12.11.2019 отменено, заявление финансового управляющего удовлетворено. Применена реституция в виде взыскания с ФИО4 в конкурсную массу 9 098 365,17 руб.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кассационных жалоб не установлено. Удовлетворяя заявление и отменяя определение суда первой инстанции, суд апелляционной инстанции, повторно оценив представленные доказательства по правилам главы 7 Арбитражного процессуального кодека Российской Федерации, руководствовался положениями статей 19, 61.2, 61.6 Федерального закона от 26.10.2002 № 127-ФЗ «О несостоятельности (банкротстве)», статей 10 и 168 Гражданского кодекса Российской Федерации, и исходил из того, что оспариваемый договор был заключен с заинтересованным лицом (дочерью должника) в течение трех лет до принятия заявления о признании должника банкротом с намерением причинить вред имущественным правам кредиторов должника. При таких условиях суд признал указанный договор дарения недействительным, применив последствия недействительности сделки, с чем впоследствии согласился суд округа. Доводы кассационных жалоб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АО Бинбанк Диджитал (подробнее) Артеменков Александр вячеславович (подробнее) ПАО Банк ФК Открытие (подробнее) ПАО Сбербанк (подробнее) Иные лица: Дорогомиловский ОСП (подробнее) НП "СОАУ "Меркурий" (подробнее) ф/у Кирокосьян Е. М. (подробнее) Судьи дела: Букина И.А. (судья) (подробнее) Последние документы по делу: Определение от 10 ноября 2023 г. по делу № А40-99886/2018 Определение от 17 августа 2022 г. по делу № А40-99886/2018 Определение от 3 ноября 2020 г. по делу № А40-99886/2018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