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возобновлении производства по рассмотрению вопроса определения размера субсидиарной ответственности Даниленко К.И., Николайчука Валентина Николаевича и Сеппа Ю.Х., представив отчёт о результатах выбора конкурсными кредиторами способа распоряжения правом требования к названным лицам. Определением Арбитражного суда Кемеровской области от 24.01.2023, оставленным без изменения постановлениями Седьмого арбитражного апелляционного суда от 16.03.2023 и Арбитражного суда Западно-Сибирского округа от 18.07.2023, установлен размер субсидиарной ответственности солидарно привлечённых к ней лиц в сумме 67 070 507 рублей 77 копеек, произведена замена взыскателя – должника на его правопреемников в соответствующих суммах. Оставшаяся сумма 12 902 740 рублей 97 копеек признана подлежащей взысканию солидарно с субсидиарных ответчиков в пользу должника.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61.11, 61.17 Федерального закона от 26.10.2002 № 127-ФЗ «О несостоятельности (банкротстве)», исходили из ранее установленных обстоятельств, послуживших основанием для привлечения заявителей к субсидиарной ответственности, объёма непогашенных денежных требований перед конкурсными кредиторами и отсутствия оснований для уменьшения размера субсидиарной ответственности.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