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платежей, совершённых должником в пользу общества с ограниченной ответственностью «Управление современного строительства» (далее – общество) за период с 04.08.2018 по 19.09.2019 в общем размере 70 545 870 рублей 96 копеек. Определением Арбитражного суда города Москвы от 19.12.2022 заявление удовлетворено. Не согласившись с названным судебным актом, общество, кредитор Касьянов Андрей и бывший участник должника Абрамов Евгений Евгеньевич обратились в Девятый арбитражный апелляционный суд с апелляционными жалобами, одновременно заявив ходатайство о восстановлении пропущенного срока на их подачу. Постановлением Девятого арбитражного апелляционного суда от 06.06.2023, оставленным без изменения постановлением Арбитражного суда Московского округа от 17.08.2023, срок на подачу апелляционных жалоб восстановлен, определение суда первой инстанции от 19.12.2022 изменено. Признаны недействительными сделками платежи должника в пользу общества в общем размере 64 045 870 рублей 96 копеек, применены последствия недействительности сделок в виде обязания общества возвратить в конкурсную массу денежные средства в общем размере 64 045 870 рублей 96 копеек.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2 Доводов о несогласии с разрешением настоящего обособленного спора в части признания недействительными и применения последствий недействительности сделок должника в общем размере 64 045 870 рублей 96 копеек в кассационной жалобе не содержится. Заявитель настаивает на нарушении судами апелляционной инстанции и округа норм процессуального права, вызванном необоснованным восстановлением подателям апелляционных жалоб срока на их подачу.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Восстанавливая срок на апелляционное обжалование, апелляционный суд, руководствуясь положениями статей 4, 117, 259 Арбитражного процессуального кодекса Российской Федерации, признал уважительными причины, объективно препятствовавшие своевременной подготовке жалоб и совершению процессуальных действий заявителям – пребывающем в банкротстве обществу, кредитору и бывшему участнику должника, настаивавшим на ошибочном взыскании (вследствие задвоения в заявлении конкурсного управляющего оспариваемых платежей на сумму 6 500 000 рублей) денежных средств в конкурсную массу. Суд округа согласился с выводами суда апелляционной инстанции, оставив его постановление в обжалуемой части без изменения. Выводы судов апелляционной инстанции и округа в обжалуемой заявителем части соответствуют нормам права, оснований для переоценки этих выводов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