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конкурсный управляющий акционерного общества аграрного профсоюзного акционерного коммерческого банка «Апабанк» государственная корпорация «Агентство по страхованию вкладов» (далее – банк) обратился в суд с заявлением о признании должника банкротом, введении процедуры наблюдения, включении в третью очередь реестра требований кредиторов должника (далее – реестр) 517 765 131 рублей 73 копеек. Определением Арбитражного суда Московской области от 22.02.2023, оставленным без изменения постановлениями Десятого арбитражного апелляционного суда от 30.05.2023 и Арбитражного суда Московского округа от 04.09.2023, заявление признано обоснованным. В отношении должника введена процедура наблюдения, утверждён временный управляющий, требование кредитора в заявленном размере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в части отказа в понижении очерёдности удовлетворения требования банка.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71, 100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исходили из отсутствия оснований для понижения в очерёдности удовлетворения требования банка, заключившего с должником кредитные договоры на обычных, доступных иным участникам рынка, условиях при отсутствии у должника на момент их заключения признаков неплатёжеспособности. Выводы судов в обжалуемой заявителем части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