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и конкурсные кредиторы – Бездетный Г.Е. и Кузнецов В.В. обратились в суд с заявлением о признании недействительными сделками соглашения об уступке права требования (цессии) от 27.12.2017 и акта зачёта однородных требований от 27.12.2017, совершённых между должником и обществом с ограниченной ответственностью «Гаммафлекс» (далее – ответчик); применении последствий недействительности сделок в виде взыскания с ответчика в конкурсную массу должника денежных средств в размере 300 000 000 рублей. Определением Арбитражного суда города Москвы от 23.12.2022, оставленным без изменения постановлениями Девятого арбитражного апелляционного суда от 31.03.2023 и Арбитражного суда Московского округа от 14.07.2023,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пунктом 2 статьи 61.2 Федерального закона от 26.10.2002 № 127-ФЗ «О несостоятельности (банкротстве)», не установив у оспариваемых сделок пороков, выходящих за пределы дефектов подозрительных сделок, приняв во внимание, что на момент совершения последних должница являлась платёжеспособной, а оспариваемые возмездные сделки не причинили вреда её конкурсным кредиторам, пришли выводам об отсутствии оснований для признания их недействительными, в том числе ввиду пропуска финансовым управляющим и конкурсными кредиторами годичного срока исковой давности.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