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ноября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управление обратилось в Верховный Суд Российской Федерации с кассационной жалобой на вышеуказанные судебные акты, одновременно заявив ходатайство о восстановлении пропущенного процессуального срока на ее подачу.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Арбитражного суда Дальневосточного округа от 25.08.2023, на момент обращения заявителя в Верховный Суд Российской Федерации двухмесячный срок, установленный статьей 2912 АПК РФ, истек. 2 Положениями части 2 статьи 2912 АПК РФ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Согласно части 3 статьи 2912 АПК РФ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названного Кодекса. В силу части 2 статьи 117 АПК РФ арбитражный суд восстанавливает пропущенный процессуальный срок, если признает причины пропуска уважительными. Рассмотрев заявленное ходатайство, суд полагает возможным восстановить срок, установленный частью 1 статьи 2912 АПК РФ. Руководствуясь статьями 117, 184, 185,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Пограничного управления Федеральной службы безопасности Российской Федерации по Забайкальскому краю о восстановлении пропущенного процессуального срока подачи кассационной жалобы удовлетворить и восстановить пропущенный срок подачи кассационной жалобы.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