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настоящего дела определением Арбитражного суда города Санкт-Петербурга и Ленинградской области от 08.11.2022, оставленным без изменения постановлениями Тринадцатого арбитражного апелляционного суда от 26.04.2023 и Арбитражного суда Северо-Западного округа от 27.06.2023, исковое заявление оставлено без рассмотрения. В кассационной жалобе, поданной в Верховный Суд Российской Федерации, заявитель просит отменить названные судебные акты и направить дело в суд первой инстанции для рассмотрения по существу.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2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Оставляя исковое заявление без рассмотрения, суд первой инстанции, руководствуясь пунктом 4 части 1 статьи 148 Арбитражного процессуального кодекса Российской Федерации, статьями 63 и 126 Федерального закона от 26.10.2002 № 127-ФЗ «О несостоятельности (банкротстве)», исходил из того, что настоящее требование на момент его предъявления подлежало рассмотрению в рамках дела о банкротстве общества. Суды апелляционной инстанции и округа поддержали выводы апелляционного суда.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