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 договора на оказание юридических услуг от 20.11.2019 №1, заключенного между должником и акционерным обществом «РТИ Регион»; применении последствий недействительности сделки. Определением Арбитражного суда Московской области от 30.12.2022, оставленным без изменения постановлениями Десятого арбитражного апелляционного суда от 24.04.2023 и Арбитражного суда Московского округа от 19.07.2023,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того, что оспариваемая сделка с незаинтересованным лицом не выходила за пределы дефектов подозрительных сделок, а заявителем не доказан факт причинения вреда имущественным правам конкурсных кредиторов, в связи с чем отказали в удовлетворении требований конкурсного управляющего. Выводы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