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договоров об оказании юридических услуг от 04.06.2019 № 07/06-2019 и от 25.10.2019 № 02/10-2019, осуществленных в рамках исполнения названных договоров платежей должника в пользу общества с ограниченной ответственностью «Литера Легис» (далее – общество); применении последствий недействительности сделок. Определением Арбитражного суда города Москвы от 04.05.2023, оставленным без изменения постановлениями Девятого арбитражного апелляционного суда от 11.07.2023 и Арбитражного суда Московского округа от 05.09.2023,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исходили из недоказанности совокупности условий, необходимых для признания недействительными оспариваемых сделок, совершенных при отсутствии у должника на дату их совершения признаков неплатёжеспособности в пользу оказавшего ему юридические услуги общества, не повлекших за собой причинение вреда имущественным правам конкурсных кредиторов.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