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9 ноября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его конкурсный управляющий обратилась в суд с заявлением о разрешении разногласий с залоговым кредитором. Просила установить, что в расходы на обеспечение сохранности предмета залога и реализации его на торгах не включается текущая задолженность должника по налогу на добавленную стоимость. Определением Арбитражного суда Московской области от 18.03.2022, оставленным без изменения постановлениями Десятого арбитражного апелляционного суда от 26.04.2022 и Арбитражного суда Московского округа от 28.07.2022, разногласия разрешены; установлено, что текущая задолженность должника по налогу на добавленную стоимость, налогу на имущество, иным налогам, сборам, страховым взносам, начисленным на предмет залога, признается расходами на реализацию предмета залога и подлежит оплате в порядке, предусмотренном пунктом 6 статьи 138 Федерального закона от 26.10.2002 № 127-ФЗ «О несостоятельности (банкротстве)» (далее – Закон о банкротстве). В кассационной жалобе, поданной в Верховный Суд Российской Федерации, заявитель просит отменить указанные судебные акты. По смыслу части 1 статьи 291.1 , части 7 статьи 291.6 ,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Разрешая спор, суды, руководствуясь положениями статей 134 и 138 Закона о банкротстве, исходили из того, что налоговая задолженность должника, начисление которой связано с продолжением эксплуатации залогового имущества и признанная текущей, подлежит погашению в режиме расходов на обеспечение сохранности предмета залога. Выводы судов соответствуют нормам права, оснований для переоценки этих выводов не имеется. Нарушений норм материального права, а также норм процессуального права, влекущих за собой безусловную отмену указанных судебных актов, судами не допущено, по доводам жалобы не установлено.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конкурсному управляющему обществом с ограниченной ответственностью «Промышленно-торговая компания «Прогресс»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 Суд: Верховный Суд РФ (подробнее) Истцы: ООО "Алькор" (подробнее) ООО "Балтик-Сервис" (подробнее) ООО " Кашин Трансавто" (подробнее) ООО "Комплекс-Авто" (подробнее) ООО "Леспром" (подробнее) ООО ПироМакс (подробнее) ООО "Семигор" (подробнее) ООО "Стройиндустрия" (подробнее) Ответчики: ООО "ПТК "Прогресс" (подробнее) Иные лица: К/У Смирнова Виктория Сергеевна (подробнее) Судьи дела: Корнелюк Е.С.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