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13.12.2022 заявление удовлетворено. Одиннадцатый арбитражный апелляционный суд постановлением от 18.05.2023 определение от 13.12.2022 отменил и в удовлетворении заявления отказал. Арбитражный суд Поволжского округа постановлением от 27.07.2023 оставил без изменения постановление апелляционного суда от 18.05.2023. В кассационной жалобе Лукоянов О.В. просит отменить постановления апелляционного и окружного судов, ссылаясь на игнорирование мнимости соглашения и перерыва течения срока исковой давности.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установил, что соглашение охватывается основаниями недействительности сделок по законодательству о банкротстве, но для признания его недействительным по таким основаниям финансовым управляющим пропущен срок исковой давности. Перерыв течения срока исковой давности обсужден судом и отклонен, учитывая, что перерыв может иметь место в случае надлежащего предъявления иска в суд, тогда как предшествовавшее данному заявлению обращение в суд состоялось с нарушением подсудности и исходило не от финансового управляющего.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Лукоянову О.В.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