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22.02.2023, оставленным без изменения постановлением Девятого арбитражного апелляционного суда от 17.05.2023 и постановлением Арбитражного суда Московского округа от 31.07.2023, в удовлетворении заявления отказано. В кассационной жалобе Бондаренко И.С. просит об отмене судебных актов, ссылаясь на неправомерность введения в отношении него предусмотренной для гражданина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Статус должника для целей банкротства и процедура банкротства определены из характера долговых обязательств. Приведенные в жалобе доводы рассмотрены судами и получили правую оценку, требуемое изменение которой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Бондаренко Игорю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