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01.02.2023, оставленным без изменения постановлением Пятого арбитражного апелляционного суда от 03.05.2023 и постановлением Арбитражного суда Дальневосточного округа от 17.07.2023, включено в третью очередь реестра требование в общей сумме 2 830 079 рублей 97 копеек, из них 916 452 рублей 90 копеек основного долга как обеспеченное залогом квартиры должника. В кассационной жалобе Наумец С.Ф. просит об отмене судебных актов, ссылаясь на нарушение жилищных прав должника вследствие обращения взыскания на единственное жилье при исполнении непросроченного обязательства третьим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связи с возбуждением дела о банкротстве обязательства должника перед банком, обеспеченные залогом квартиры, считаются наступившими, поэтому требования банка установлено и определено как залоговое в реестре правомерно. Вопрос соблюдения баланса прав должника на единственное жилье и интересов кредиторов решается между ними в процедуре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Наумцу С.Ф.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