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«Новотранс» обратилось в Арбитражный суд Республики Коми с иском, уточненным в порядке статьи 49 Арбитражного процессуального кодекса Российской Федерации, о взыскании с АО «Ситтек» 29 985 440 рублей убытков по затратам на строительство пункта перевалки затаренного жидкого хлора, 14 599 523 рублей убытков в виде эксплуатационных расходов, произведенных с 01.01.2014 по 29.02.2020, 227 974 756 рублей убытков в виде упущенной выгоды за период с 01.01.2018 по 31.12.2019 ввиду ненадлежащего исполнения обязанностей по договору транспортной экспедиции от 15.07.2013 № 060/13. К участию в деле в качестве третьего лица, не заявляющего самостоятельных требований относительно предмета спора, привлечен временный управляющий ООО ТК «Новотранс» Кислицын О.Н. Решением Арбитражного суда Республики Коми от 05.05.2021, оставленным без изменения постановлением Второго арбитражного апелляционного суда от 14.09.2021, в удовлетворении иска отказано. 2 Арбитражный суд Волго-Вятского округа постановлением от 28.03.2022 указанные судебные акты отменил и направил дело на новое рассмотрение в суд первой инстанции. При новом рассмотрении дела судом в порядке статьи 49 Арбитражного процессуального кодекса Российской Федерации приняты уточненные требования о взыскании 43 966 563 рублей 51 копейки убытков по затратам на строительство пункта перевалки затаренного жидкого хлора, 14 599 523 рублей 29 копеек убытков в виде эксплуатационных расходов и 38 915 397 рублей 96 копеек убытков в виде упущенной выгоды за период с 02.09.2019 по 31.12.2019. Решением Арбитражного суда Республики Коми от 10.12.2022 иск удовлетворен в части взыскания 38 915 397 рублей 96 копеек убытков в виде упущенной выгоды, в удовлетворении иска в остальной части отказано. Постановлением Второго арбитражного апелляционного суда от 23.03.2023 решение суда первой инстанции оставлено без изменения. Арбитражный суд Волго-Вятского округа постановлением от 04.08.2023 указанные судебные акты оставил без изменения. АО «Ситтек»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требование о взыскании упущенной выгоды, суды руководствовались статьями 15, 393, 801 Гражданского кодекса Российской Федерации, истолковали условия спорного договора в соответствии с положениями статей 421 и 431 Гражданского кодекса Российской Федерации, с учетом правовой позиции, изложенной в пунктах 43, 45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пункте 11 3 постановления Пленума Высшего Арбитражного Суда Российской Федерации от 14.03.2014 № 16 «О свободе договора и ее пределах», и установили ненадлежащее исполнение ответчиком договорных обязательств ввиду необеспечения согласованного сторонами ежесуточного объема услуг и причинение истцу убытков в виде упущенной выгоды. В удовлетворении иска в остальной части судами отказано по мотиву пропуска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