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20.02.2023, оставленным без изменения постановлением Тринадцатого арбитражного апелляционного суда от 26.05.2023 и постановлением Арбитражного суда Северо-Западного округа от 11.08.2023, заявление удовлетворено. В кассационной жалобе ФИО1 просит об отмене судебных актов, ссылаясь на неуведомление о начавшемся судебном процессе, дате и времени заседания суда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надлежащее в порядке части 4 статьи 121 и части 4 статьи 123 Арбитражного процессуального кодекса Российской Федерации извещение ответчика о судебном разбирательстве в суде первой инстанции и несение им последствия неполучения корреспонденции в виде отказа в приобщении представленных в апелляционную инстанцию документов.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Ведущих Арбитражных Управляющих "Достояние" (подробнее) БЕГАН ЛИМИТЕД (подробнее) ООО СХП СЗРП (подробнее) Отделу по вопросам миграции УМВД России по Тольятти (подробнее) ПАО Сбербанк России (подробнее) Перов Павел Андреевич (ф/у) (подробнее) ФКУ "ГИАЦ МВД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