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25.01.2023 в удовлетворении заявления отказано. Десятый арбитражный апелляционный суд постановлением от 28.03.2023 отменил определение от 25.01.203 и удовлетворил заявление в части включения в третью очередь реестра стоимости четырех земельных участков в сумме 196 979 000 рублей. Арбитражный суд Московского округа постановлением от 06.07.2023 оставил без изменения постановление апелляционного суда от 28.03.2023. В кассационной жалобе Азнауров А.Т. просит об отмене постановлений апелляционного и окружного судов, ссылаясь на неправомерное возмещение вреда в денежном эквиваленте и отсутствие надлежащих доказательств размера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требование отвечающим критериям статей 71, 100, 126, 134, 142 Федерального закона от 26.10.2002 № 127-ФЗ «О несостоятельности (банкротстве)», статье 69 Арбитражного процессуального кодекса Российской Федерации как подтвержденное судебным актом, в том числе в отношении размера. Руководствуясь статьями 291.6, 291.8 Арбитражного процессуального кодекса Российской Федерации, судья Верховного Суда Российской Федерации\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Азнаурову Абсамату Тамерлановичу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