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12.01.2023, оставленным без изменения постановлением Двадцатого арбитражного апелляционного суда от 01.06.2023 и постановлением Арбитражного суда Центрального округа от 16.08.2023, в удовлетворении заявления отказано. В кассационной жалобе ФИО1 просит об отмене судебных актов, ссылаясь на неуведомление о возбуждении процедуры банкротства должника и лишение права на разделе совместного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нарушений процедуры проведения торгов, продажу заложенного имущества в порядке и на условиях, установленных залогодержателем, поэтому в силу статей 110 , 138 , 139 , 213.26 Федерального закона от 26.10.2002 № 127-ФЗ «О несостоятельности (банкротстве)», статьи 449 Гражданского кодекса Российской Федерации отклонили заявление. Доводы заявителя о неизвещении о возбуждении в отношении должника процедуры банкротства и нарушении права на раздел совместного имущества мотивированно признаны не влияющими на судьбу заявленного требования.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"Геоинвест"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