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17.02.2023, оставленным без изменения постановлением Пятнадцатого арбитражного апелляционного суда от 11.05.2023 и постановлением Арбитражного суда Северо-Кавказского округа от 17.07.2023, в удовлетворении заявления отказано. В кассационной жалобе Изиляев В.Г. просит об отмене судебных актов, ссылаясь на игнорирование судебного акта о размере требования. В силу части 1 статьи 291.11 Арбитражного процессуального кодекса Российской Федерации основаниями для отмены ил 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указали на несудебный порядок учета в реестре погашенных требований, поэтому отклонили заявление.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Изиляеву В.Г.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