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 Петербурга и Ленинградской области от 21.03.2023, оставленным без изменения постановлениями Тринадцатого арбитражного апелляционного суда от 02.06.2023 и Арбитражного суда Северо-Западного округа от 14.08.2023, исковое заявление возвращено.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Возвращая исковое заявление и подтверждая законность такого возврата, суды, руководствуясь статьями 125, 126, 128 и 129 Арбитражного процессуального кодекса Российской Федерации, исходили из того, что заявителем не устранены обстоятельства, ранее послужившие основанием для оставления заявления без движения.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