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определением Арбитражного суда города Санкт-Петербурга и Ленинградской области от 22.03.2023, оставленным без изменения постановлениями Тринадцатого арбитражного апелляционного суда от 24.05.2023 и Арбитражного суда Северо-Западного округа от 10.08.2023, отказано в удовлетворении ходатайства о предоставлении отсрочки уплаты государственной пошлины; исковое заявление возвращено.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Возвращая исковое заявление и подтверждая законность такого возврата, суды, руководствуясь статьями 64, 333.22, 333.37 и 333.41 Налогового кодекса Российской Федерации, статьями 125, 126 и 129 Арбитражного процессуального кодекса Российской Федерации, исходили из того, что заявителем не представлены документы, позволяющие сделать однозначный вывод о том, что его текущее имущественное положение не позволяет ему уплатить государственную пошлину в установленном порядке и размере при подаче заявления в арбитражный суд.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