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22.03.2023, оставленным без изменения постановлениями Тринадцатого арбитражного апелляционного суда от 01.06.2023 и Арбитражного суда Северо-Западного округа от 03.08.2023, отказано в удовлетворении ходатайства о предоставлении отсрочки уплаты государственной пошлины; исковое заявление возвращено. В кассационной жалобе, поданной в Верховный Суд Российской Федерации, заявитель просит отменить названные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исковое заявление в связи с отказом в удовлетворении ходатайства о предоставлении отсрочки уплаты госпошлины и подтверждая законность такого возврата, суды, руководствуясь статьями 64 , 333.22 , 333.37 , 333.41 Налогового кодекса Российской Федерации, статьями 125 , 126 , 129 Арбитражного процессуального кодекса Российской Федерации, исходили из того, что заявителем не представлены документы, позволяющие сделать однозначный вывод о том, что его текущее имущественное положение не позволяет ему уплатить государственную пошлину в установленном порядке и размере.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Межрайонная инспекция Федеральной налоговой службы №19 по Санкт-Петербургу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